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3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10726C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="002A7BF2" w:rsidRPr="002A7BF2">
        <w:rPr>
          <w:rFonts w:ascii="Arial" w:hAnsi="Arial" w:cs="Arial"/>
          <w:b/>
          <w:color w:val="000000"/>
        </w:rPr>
        <w:t>Modernizace silnice II/315 Týnišťko - Choceň</w:t>
      </w:r>
      <w:bookmarkStart w:id="0" w:name="_GoBack"/>
      <w:bookmarkEnd w:id="0"/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2A7BF2"/>
    <w:rsid w:val="00F52472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3</cp:revision>
  <dcterms:created xsi:type="dcterms:W3CDTF">2021-04-22T10:30:00Z</dcterms:created>
  <dcterms:modified xsi:type="dcterms:W3CDTF">2021-04-26T07:37:00Z</dcterms:modified>
</cp:coreProperties>
</file>